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319" w:rsidRPr="00274C18" w:rsidRDefault="00274C18" w:rsidP="00274C18">
      <w:pPr>
        <w:pStyle w:val="Title"/>
      </w:pPr>
      <w:r w:rsidRPr="00274C18">
        <w:t xml:space="preserve">Advanced Concepts in Pediatric TB: Part </w:t>
      </w:r>
      <w:r w:rsidR="00F23AE1">
        <w:t>2</w:t>
      </w:r>
    </w:p>
    <w:p w:rsidR="000D6274" w:rsidRPr="00274C18" w:rsidRDefault="004E240A" w:rsidP="00274C18">
      <w:pPr>
        <w:pStyle w:val="Heading3"/>
      </w:pPr>
      <w:r w:rsidRPr="00274C18">
        <w:t>Online Course</w:t>
      </w:r>
    </w:p>
    <w:p w:rsidR="003A5319" w:rsidRPr="00010B27" w:rsidRDefault="00F80D80" w:rsidP="00E75720">
      <w:pPr>
        <w:pStyle w:val="Heading2"/>
        <w:spacing w:before="240"/>
        <w:rPr>
          <w:i w:val="0"/>
        </w:rPr>
      </w:pPr>
      <w:r>
        <w:rPr>
          <w:i w:val="0"/>
        </w:rPr>
        <w:t>Southeastern National Tuberculosis Center</w:t>
      </w:r>
      <w:r w:rsidR="003F6760" w:rsidRPr="00010B27">
        <w:rPr>
          <w:i w:val="0"/>
        </w:rPr>
        <w:t xml:space="preserve"> </w:t>
      </w:r>
      <w:r w:rsidR="00010B27" w:rsidRPr="00010B27">
        <w:rPr>
          <w:i w:val="0"/>
        </w:rPr>
        <w:t xml:space="preserve"> </w:t>
      </w:r>
      <w:r w:rsidR="003F6760" w:rsidRPr="00010B27">
        <w:rPr>
          <w:i w:val="0"/>
        </w:rPr>
        <w:t xml:space="preserve"> </w:t>
      </w:r>
      <w:r w:rsidR="003F6760" w:rsidRPr="00010B27">
        <w:rPr>
          <w:i w:val="0"/>
        </w:rPr>
        <w:sym w:font="Wingdings 2" w:char="F097"/>
      </w:r>
      <w:r w:rsidR="00ED2E56" w:rsidRPr="00010B27">
        <w:rPr>
          <w:i w:val="0"/>
        </w:rPr>
        <w:t xml:space="preserve"> </w:t>
      </w:r>
      <w:r w:rsidR="00010B27" w:rsidRPr="00010B27">
        <w:rPr>
          <w:i w:val="0"/>
        </w:rPr>
        <w:t xml:space="preserve"> </w:t>
      </w:r>
      <w:r w:rsidR="00ED2E56" w:rsidRPr="00010B27">
        <w:rPr>
          <w:i w:val="0"/>
        </w:rPr>
        <w:t xml:space="preserve"> </w:t>
      </w:r>
      <w:r w:rsidR="004E240A">
        <w:rPr>
          <w:i w:val="0"/>
        </w:rPr>
        <w:t>University of Florida</w:t>
      </w:r>
      <w:r w:rsidR="00054716">
        <w:rPr>
          <w:i w:val="0"/>
        </w:rPr>
        <w:t xml:space="preserve"> CME Office</w:t>
      </w:r>
    </w:p>
    <w:p w:rsidR="00054716" w:rsidRDefault="00054716" w:rsidP="00054716">
      <w:pPr>
        <w:pStyle w:val="Heading5"/>
      </w:pPr>
      <w:r w:rsidRPr="00F56783">
        <w:t>Presented by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790"/>
        <w:gridCol w:w="3626"/>
      </w:tblGrid>
      <w:tr w:rsidR="003038B8" w:rsidTr="003038B8">
        <w:tc>
          <w:tcPr>
            <w:tcW w:w="2880" w:type="dxa"/>
          </w:tcPr>
          <w:p w:rsidR="003038B8" w:rsidRPr="00054716" w:rsidRDefault="003038B8" w:rsidP="00054716">
            <w:pPr>
              <w:rPr>
                <w:b/>
              </w:rPr>
            </w:pPr>
            <w:r>
              <w:rPr>
                <w:b/>
              </w:rPr>
              <w:t>Ana Alvarez, MD</w:t>
            </w:r>
          </w:p>
          <w:p w:rsidR="003038B8" w:rsidRDefault="003038B8" w:rsidP="00054716">
            <w:r>
              <w:t>Associate Professor</w:t>
            </w:r>
          </w:p>
          <w:p w:rsidR="003038B8" w:rsidRDefault="003038B8" w:rsidP="00054716">
            <w:r>
              <w:t>Department of Pediatrics</w:t>
            </w:r>
          </w:p>
          <w:p w:rsidR="003038B8" w:rsidRDefault="003038B8" w:rsidP="00054716">
            <w:r>
              <w:t>University of Florida</w:t>
            </w:r>
          </w:p>
        </w:tc>
        <w:tc>
          <w:tcPr>
            <w:tcW w:w="2790" w:type="dxa"/>
          </w:tcPr>
          <w:p w:rsidR="005F216B" w:rsidRDefault="005F216B" w:rsidP="003038B8">
            <w:pPr>
              <w:rPr>
                <w:b/>
              </w:rPr>
            </w:pPr>
            <w:r w:rsidRPr="005F216B">
              <w:rPr>
                <w:b/>
              </w:rPr>
              <w:t>Amina Ahmed, MD</w:t>
            </w:r>
          </w:p>
          <w:p w:rsidR="003038B8" w:rsidRDefault="005F216B" w:rsidP="003038B8">
            <w:r>
              <w:t>P</w:t>
            </w:r>
            <w:r w:rsidRPr="005F216B">
              <w:t xml:space="preserve">ediatric </w:t>
            </w:r>
            <w:r>
              <w:t>ID</w:t>
            </w:r>
            <w:r w:rsidRPr="005F216B">
              <w:t xml:space="preserve"> </w:t>
            </w:r>
            <w:r>
              <w:t>S</w:t>
            </w:r>
            <w:r w:rsidRPr="005F216B">
              <w:t>pecialist</w:t>
            </w:r>
          </w:p>
          <w:p w:rsidR="005F216B" w:rsidRDefault="005F216B" w:rsidP="003038B8">
            <w:r w:rsidRPr="005F216B">
              <w:t>Levine Children’s Hospital</w:t>
            </w:r>
          </w:p>
          <w:p w:rsidR="003038B8" w:rsidRDefault="003038B8" w:rsidP="003038B8"/>
        </w:tc>
        <w:tc>
          <w:tcPr>
            <w:tcW w:w="3626" w:type="dxa"/>
          </w:tcPr>
          <w:p w:rsidR="005F216B" w:rsidRDefault="005F216B" w:rsidP="00054716">
            <w:pPr>
              <w:rPr>
                <w:b/>
                <w:bCs/>
              </w:rPr>
            </w:pPr>
            <w:r w:rsidRPr="005F216B">
              <w:rPr>
                <w:b/>
                <w:bCs/>
              </w:rPr>
              <w:t>Ayesha Mirza, MD</w:t>
            </w:r>
          </w:p>
          <w:p w:rsidR="005F216B" w:rsidRPr="005F216B" w:rsidRDefault="005F216B" w:rsidP="005F216B">
            <w:pPr>
              <w:rPr>
                <w:bCs/>
              </w:rPr>
            </w:pPr>
            <w:r w:rsidRPr="005F216B">
              <w:rPr>
                <w:bCs/>
              </w:rPr>
              <w:t>Associate Professor</w:t>
            </w:r>
          </w:p>
          <w:p w:rsidR="005F216B" w:rsidRPr="005F216B" w:rsidRDefault="005F216B" w:rsidP="005F216B">
            <w:pPr>
              <w:rPr>
                <w:bCs/>
              </w:rPr>
            </w:pPr>
            <w:r w:rsidRPr="005F216B">
              <w:rPr>
                <w:bCs/>
              </w:rPr>
              <w:t>Department of Pediatrics</w:t>
            </w:r>
          </w:p>
          <w:p w:rsidR="003038B8" w:rsidRPr="003038B8" w:rsidRDefault="005F216B" w:rsidP="005F216B">
            <w:pPr>
              <w:rPr>
                <w:bCs/>
              </w:rPr>
            </w:pPr>
            <w:r w:rsidRPr="005F216B">
              <w:rPr>
                <w:bCs/>
              </w:rPr>
              <w:t>University of Florida</w:t>
            </w:r>
          </w:p>
        </w:tc>
      </w:tr>
    </w:tbl>
    <w:p w:rsidR="003A5319" w:rsidRPr="0038548D" w:rsidRDefault="003A5319" w:rsidP="00054716">
      <w:pPr>
        <w:pStyle w:val="Heading5"/>
        <w:spacing w:before="240"/>
      </w:pPr>
      <w:r w:rsidRPr="0038548D">
        <w:t>Target Audience</w:t>
      </w:r>
    </w:p>
    <w:p w:rsidR="003A5319" w:rsidRDefault="00A864EB" w:rsidP="00765AB8">
      <w:r>
        <w:t xml:space="preserve">The course </w:t>
      </w:r>
      <w:proofErr w:type="gramStart"/>
      <w:r>
        <w:t>is designed</w:t>
      </w:r>
      <w:proofErr w:type="gramEnd"/>
      <w:r>
        <w:t xml:space="preserve"> for physicians, nurses, pharmacists</w:t>
      </w:r>
      <w:r w:rsidR="0038548D">
        <w:t>,</w:t>
      </w:r>
      <w:r>
        <w:t xml:space="preserve"> and field staff who </w:t>
      </w:r>
      <w:r w:rsidR="00E3689C">
        <w:t xml:space="preserve">interact with </w:t>
      </w:r>
      <w:r w:rsidR="006F6D32">
        <w:t>pediatric</w:t>
      </w:r>
      <w:r w:rsidR="00E3689C">
        <w:t xml:space="preserve"> patients.</w:t>
      </w:r>
    </w:p>
    <w:p w:rsidR="00054716" w:rsidRDefault="00054716" w:rsidP="00765AB8"/>
    <w:p w:rsidR="00054716" w:rsidRPr="00274C18" w:rsidRDefault="00054716" w:rsidP="00054716">
      <w:pPr>
        <w:shd w:val="clear" w:color="auto" w:fill="FFFFFF"/>
        <w:spacing w:line="336" w:lineRule="atLeast"/>
        <w:textAlignment w:val="baseline"/>
      </w:pPr>
      <w:r w:rsidRPr="00274C18">
        <w:rPr>
          <w:rStyle w:val="Heading5Char"/>
          <w:rFonts w:eastAsia="Calibri"/>
        </w:rPr>
        <w:t>Price</w:t>
      </w:r>
      <w:r w:rsidRPr="00274C18">
        <w:rPr>
          <w:rStyle w:val="Heading5Char"/>
          <w:rFonts w:eastAsia="Calibri"/>
        </w:rPr>
        <w:br/>
      </w:r>
      <w:r w:rsidRPr="00FE7A99">
        <w:t>Free</w:t>
      </w:r>
    </w:p>
    <w:p w:rsidR="00054716" w:rsidRDefault="00054716" w:rsidP="00274C18">
      <w:pPr>
        <w:pStyle w:val="Heading5"/>
      </w:pPr>
      <w:r w:rsidRPr="00F56783">
        <w:t>Program Description</w:t>
      </w:r>
      <w:r>
        <w:t xml:space="preserve"> </w:t>
      </w:r>
    </w:p>
    <w:p w:rsidR="00274C18" w:rsidRDefault="00274C18" w:rsidP="00274C18">
      <w:r>
        <w:t xml:space="preserve">In this series on Pediatric TB, </w:t>
      </w:r>
      <w:proofErr w:type="gramStart"/>
      <w:r>
        <w:t>the Pediatric ID Board Certifying Examination Content is presented by expert</w:t>
      </w:r>
      <w:proofErr w:type="gramEnd"/>
    </w:p>
    <w:p w:rsidR="004E240A" w:rsidRPr="008706F5" w:rsidRDefault="00274C18" w:rsidP="008706F5">
      <w:proofErr w:type="gramStart"/>
      <w:r>
        <w:t>speakers</w:t>
      </w:r>
      <w:proofErr w:type="gramEnd"/>
      <w:r>
        <w:t xml:space="preserve"> via case-based, interactive webinars. </w:t>
      </w:r>
      <w:r w:rsidR="008706F5" w:rsidRPr="008706F5">
        <w:t xml:space="preserve">The series goes beyond basic content while following the pediatric ID guidelines and </w:t>
      </w:r>
      <w:proofErr w:type="gramStart"/>
      <w:r w:rsidR="008706F5" w:rsidRPr="008706F5">
        <w:t>is intended</w:t>
      </w:r>
      <w:proofErr w:type="gramEnd"/>
      <w:r w:rsidR="008706F5" w:rsidRPr="008706F5">
        <w:t xml:space="preserve"> for a diverse audience, including pediatric infectious disease fellows and clinicians who diagnose and treat TB in children.</w:t>
      </w:r>
    </w:p>
    <w:p w:rsidR="00AF6B41" w:rsidRDefault="00AF6B41" w:rsidP="00AF6B41">
      <w:pPr>
        <w:pStyle w:val="Heading5"/>
        <w:spacing w:before="240"/>
      </w:pPr>
      <w:r>
        <w:t>Requirements for Successful Completion</w:t>
      </w:r>
    </w:p>
    <w:p w:rsidR="00AF6B41" w:rsidRDefault="00AF6B41" w:rsidP="00AF6B41">
      <w:pPr>
        <w:pStyle w:val="ListParagraph"/>
        <w:numPr>
          <w:ilvl w:val="0"/>
          <w:numId w:val="33"/>
        </w:numPr>
      </w:pPr>
      <w:r>
        <w:t xml:space="preserve">This CME activity consists of an educational component (lecture videos in an electronic format, which </w:t>
      </w:r>
      <w:proofErr w:type="gramStart"/>
      <w:r>
        <w:t>is followed</w:t>
      </w:r>
      <w:proofErr w:type="gramEnd"/>
      <w:r>
        <w:t xml:space="preserve"> </w:t>
      </w:r>
      <w:r w:rsidR="006F6D32">
        <w:t>by</w:t>
      </w:r>
      <w:r>
        <w:t xml:space="preserve"> a quiz).</w:t>
      </w:r>
    </w:p>
    <w:p w:rsidR="00AF6B41" w:rsidRDefault="00AF6B41" w:rsidP="00AF6B41">
      <w:pPr>
        <w:pStyle w:val="ListParagraph"/>
        <w:numPr>
          <w:ilvl w:val="0"/>
          <w:numId w:val="33"/>
        </w:numPr>
      </w:pPr>
      <w:r>
        <w:t xml:space="preserve">Certificates </w:t>
      </w:r>
      <w:proofErr w:type="gramStart"/>
      <w:r>
        <w:t>are awarded</w:t>
      </w:r>
      <w:proofErr w:type="gramEnd"/>
      <w:r>
        <w:t xml:space="preserve"> upon successful completion (80% proficiency) of the course.</w:t>
      </w:r>
    </w:p>
    <w:p w:rsidR="00AF6B41" w:rsidRDefault="00AF6B41" w:rsidP="00AF6B41">
      <w:pPr>
        <w:pStyle w:val="ListParagraph"/>
        <w:numPr>
          <w:ilvl w:val="0"/>
          <w:numId w:val="33"/>
        </w:numPr>
      </w:pPr>
      <w:r>
        <w:t>In order to receive credit, participants must complete the activities in their entirety.</w:t>
      </w:r>
    </w:p>
    <w:p w:rsidR="00AF6B41" w:rsidRDefault="00AF6B41" w:rsidP="00AF6B41">
      <w:pPr>
        <w:pStyle w:val="ListParagraph"/>
        <w:numPr>
          <w:ilvl w:val="0"/>
          <w:numId w:val="33"/>
        </w:numPr>
      </w:pPr>
      <w:r>
        <w:t xml:space="preserve">The University </w:t>
      </w:r>
      <w:proofErr w:type="gramStart"/>
      <w:r>
        <w:t>of Florida College of</w:t>
      </w:r>
      <w:proofErr w:type="gramEnd"/>
      <w:r>
        <w:t xml:space="preserve"> Medicine will report CME credit to CE Broker when applicable.</w:t>
      </w:r>
      <w:r w:rsidRPr="00054716">
        <w:t xml:space="preserve"> </w:t>
      </w:r>
    </w:p>
    <w:p w:rsidR="002432D9" w:rsidRDefault="002432D9" w:rsidP="00AF6B41">
      <w:pPr>
        <w:pStyle w:val="ListParagraph"/>
        <w:numPr>
          <w:ilvl w:val="0"/>
          <w:numId w:val="33"/>
        </w:numPr>
      </w:pPr>
      <w:r>
        <w:t xml:space="preserve">Participants must complete online evaluation of the course in order to obtain CE/CME certificate. </w:t>
      </w:r>
    </w:p>
    <w:p w:rsidR="00723EEC" w:rsidRDefault="00723EEC" w:rsidP="00723EEC">
      <w:pPr>
        <w:pStyle w:val="Heading5"/>
        <w:spacing w:before="240"/>
      </w:pPr>
      <w:r>
        <w:t>Topics</w:t>
      </w:r>
    </w:p>
    <w:p w:rsidR="00723EEC" w:rsidRPr="00723EEC" w:rsidRDefault="00723EEC" w:rsidP="00723EEC">
      <w:pPr>
        <w:pStyle w:val="ListParagraph"/>
        <w:numPr>
          <w:ilvl w:val="0"/>
          <w:numId w:val="33"/>
        </w:numPr>
      </w:pPr>
      <w:r w:rsidRPr="00723EEC">
        <w:t>Clinical Disease and Evaluation</w:t>
      </w:r>
    </w:p>
    <w:p w:rsidR="00723EEC" w:rsidRPr="00723EEC" w:rsidRDefault="00723EEC" w:rsidP="00723EEC">
      <w:pPr>
        <w:pStyle w:val="ListParagraph"/>
        <w:numPr>
          <w:ilvl w:val="0"/>
          <w:numId w:val="33"/>
        </w:numPr>
      </w:pPr>
      <w:r w:rsidRPr="00723EEC">
        <w:t>TB and HIV</w:t>
      </w:r>
    </w:p>
    <w:p w:rsidR="00054716" w:rsidRDefault="00054716" w:rsidP="00723EEC">
      <w:pPr>
        <w:pStyle w:val="Heading5"/>
        <w:spacing w:before="240"/>
      </w:pPr>
      <w:r w:rsidRPr="00054716">
        <w:t>Learning Objectives</w:t>
      </w:r>
    </w:p>
    <w:p w:rsidR="003A5319" w:rsidRPr="00AF6B41" w:rsidRDefault="00AF6B41" w:rsidP="00460797">
      <w:pPr>
        <w:pStyle w:val="Heading6"/>
        <w:rPr>
          <w:b w:val="0"/>
        </w:rPr>
      </w:pPr>
      <w:proofErr w:type="gramStart"/>
      <w:r w:rsidRPr="00AF6B41">
        <w:rPr>
          <w:b w:val="0"/>
        </w:rPr>
        <w:t>As a result</w:t>
      </w:r>
      <w:proofErr w:type="gramEnd"/>
      <w:r w:rsidRPr="00AF6B41">
        <w:rPr>
          <w:b w:val="0"/>
        </w:rPr>
        <w:t xml:space="preserve"> of participation in this activity, participants should be able to</w:t>
      </w:r>
      <w:r w:rsidR="003A5319" w:rsidRPr="00AF6B41">
        <w:rPr>
          <w:b w:val="0"/>
        </w:rPr>
        <w:t>:</w:t>
      </w:r>
    </w:p>
    <w:p w:rsidR="006F6D32" w:rsidRPr="006F6D32" w:rsidRDefault="006F6D32" w:rsidP="003038B8">
      <w:pPr>
        <w:pStyle w:val="ListParagraph"/>
        <w:numPr>
          <w:ilvl w:val="0"/>
          <w:numId w:val="36"/>
        </w:numPr>
      </w:pPr>
      <w:r w:rsidRPr="006F6D32">
        <w:t xml:space="preserve">Understand the general principles of antimicrobial use in TB medications for infants and children, including pharmacokinetic principles of absorption, distribution, metabolism, half-life, clearance, elimination and monitoring for toxicity/efficacy </w:t>
      </w:r>
    </w:p>
    <w:p w:rsidR="006F6D32" w:rsidRPr="006F6D32" w:rsidRDefault="006F6D32" w:rsidP="003038B8">
      <w:pPr>
        <w:pStyle w:val="ListParagraph"/>
        <w:numPr>
          <w:ilvl w:val="0"/>
          <w:numId w:val="36"/>
        </w:numPr>
      </w:pPr>
      <w:r w:rsidRPr="006F6D32">
        <w:lastRenderedPageBreak/>
        <w:t xml:space="preserve">Identify high priority groups of infants and children who should be tested and treated for LTBI and active TB disease and interpret results of tests for same </w:t>
      </w:r>
    </w:p>
    <w:p w:rsidR="003038B8" w:rsidRPr="003038B8" w:rsidRDefault="006F6D32" w:rsidP="003038B8">
      <w:pPr>
        <w:pStyle w:val="ListParagraph"/>
        <w:numPr>
          <w:ilvl w:val="0"/>
          <w:numId w:val="36"/>
        </w:numPr>
        <w:rPr>
          <w:b/>
          <w:i/>
        </w:rPr>
      </w:pPr>
      <w:r w:rsidRPr="006F6D32">
        <w:t xml:space="preserve">Recognize the clinical and radiographic manifestations of pulmonary and </w:t>
      </w:r>
      <w:proofErr w:type="spellStart"/>
      <w:r w:rsidRPr="006F6D32">
        <w:t>extrapulmonary</w:t>
      </w:r>
      <w:proofErr w:type="spellEnd"/>
      <w:r w:rsidRPr="006F6D32">
        <w:t xml:space="preserve"> TB in infants and children, including lymphadenitis, meningitis &amp; </w:t>
      </w:r>
      <w:proofErr w:type="spellStart"/>
      <w:r w:rsidRPr="006F6D32">
        <w:t>miliary</w:t>
      </w:r>
      <w:proofErr w:type="spellEnd"/>
      <w:r w:rsidRPr="006F6D32">
        <w:t xml:space="preserve"> TB </w:t>
      </w:r>
    </w:p>
    <w:p w:rsidR="003A5319" w:rsidRPr="00210EB0" w:rsidRDefault="00C250AE" w:rsidP="006F6D32">
      <w:pPr>
        <w:pStyle w:val="Heading5"/>
      </w:pPr>
      <w:r>
        <w:t>R</w:t>
      </w:r>
      <w:r w:rsidR="000D759A">
        <w:t>egistration</w:t>
      </w:r>
    </w:p>
    <w:p w:rsidR="003A5319" w:rsidRPr="00570D49" w:rsidRDefault="003A5319" w:rsidP="00054716">
      <w:pPr>
        <w:pStyle w:val="ListBullet"/>
        <w:numPr>
          <w:ilvl w:val="0"/>
          <w:numId w:val="32"/>
        </w:numPr>
      </w:pPr>
      <w:r w:rsidRPr="00570D49">
        <w:t>Participants must have basic knowledge of tuberculosis</w:t>
      </w:r>
      <w:r w:rsidR="00D132C0" w:rsidRPr="00570D49">
        <w:t>.</w:t>
      </w:r>
    </w:p>
    <w:p w:rsidR="003A5319" w:rsidRPr="00570D49" w:rsidRDefault="00D742D0" w:rsidP="00054716">
      <w:pPr>
        <w:pStyle w:val="ListBullet"/>
        <w:numPr>
          <w:ilvl w:val="0"/>
          <w:numId w:val="32"/>
        </w:numPr>
      </w:pPr>
      <w:r>
        <w:t xml:space="preserve">The </w:t>
      </w:r>
      <w:r w:rsidR="004E240A">
        <w:t xml:space="preserve">course </w:t>
      </w:r>
      <w:r>
        <w:t xml:space="preserve">is </w:t>
      </w:r>
      <w:r w:rsidR="003A5319" w:rsidRPr="00570D49">
        <w:t>f</w:t>
      </w:r>
      <w:r>
        <w:t xml:space="preserve">ree but you </w:t>
      </w:r>
      <w:r w:rsidR="00863DB0">
        <w:t xml:space="preserve">must </w:t>
      </w:r>
      <w:r>
        <w:t>pre-register to attend</w:t>
      </w:r>
      <w:r w:rsidR="003A5319" w:rsidRPr="00570D49">
        <w:t>.</w:t>
      </w:r>
    </w:p>
    <w:p w:rsidR="003A5319" w:rsidRPr="00054716" w:rsidRDefault="003A5319" w:rsidP="005F216B">
      <w:pPr>
        <w:pStyle w:val="ListBullet"/>
        <w:numPr>
          <w:ilvl w:val="0"/>
          <w:numId w:val="32"/>
        </w:numPr>
        <w:rPr>
          <w:rStyle w:val="Hyperlink"/>
          <w:rFonts w:asciiTheme="minorHAnsi" w:hAnsiTheme="minorHAnsi"/>
          <w:color w:val="auto"/>
          <w:u w:val="none"/>
        </w:rPr>
      </w:pPr>
      <w:r w:rsidRPr="00570D49">
        <w:t xml:space="preserve">Registration </w:t>
      </w:r>
      <w:r w:rsidR="00D132C0" w:rsidRPr="00570D49">
        <w:t xml:space="preserve">is </w:t>
      </w:r>
      <w:r w:rsidRPr="00570D49">
        <w:t>available online at</w:t>
      </w:r>
      <w:r w:rsidR="008706F5">
        <w:t xml:space="preserve"> </w:t>
      </w:r>
      <w:hyperlink r:id="rId8" w:history="1">
        <w:r w:rsidR="005F216B" w:rsidRPr="00160464">
          <w:rPr>
            <w:rStyle w:val="Hyperlink"/>
            <w:rFonts w:asciiTheme="minorHAnsi" w:hAnsiTheme="minorHAnsi"/>
          </w:rPr>
          <w:t>https://reg.distance.ufl.edu/reg/Activity/Details/d7c2259e894e4336b3694f7fc86a656d</w:t>
        </w:r>
      </w:hyperlink>
      <w:r w:rsidR="005F216B">
        <w:rPr>
          <w:rStyle w:val="Hyperlink"/>
          <w:rFonts w:asciiTheme="minorHAnsi" w:hAnsiTheme="minorHAnsi"/>
        </w:rPr>
        <w:t xml:space="preserve"> </w:t>
      </w:r>
    </w:p>
    <w:p w:rsidR="00054716" w:rsidRPr="00570D49" w:rsidRDefault="00054716" w:rsidP="00054716">
      <w:pPr>
        <w:pStyle w:val="ListBullet"/>
        <w:numPr>
          <w:ilvl w:val="0"/>
          <w:numId w:val="0"/>
        </w:numPr>
        <w:ind w:left="360"/>
      </w:pPr>
    </w:p>
    <w:p w:rsidR="00054716" w:rsidRDefault="00054716" w:rsidP="00054716">
      <w:pPr>
        <w:pStyle w:val="ListBullet"/>
        <w:numPr>
          <w:ilvl w:val="0"/>
          <w:numId w:val="0"/>
        </w:numPr>
        <w:rPr>
          <w:bdr w:val="none" w:sz="0" w:space="0" w:color="auto" w:frame="1"/>
        </w:rPr>
      </w:pPr>
      <w:r w:rsidRPr="00274C18">
        <w:rPr>
          <w:rStyle w:val="Heading5Char"/>
          <w:rFonts w:eastAsia="Calibri"/>
        </w:rPr>
        <w:t>Faculty Disclosure</w:t>
      </w:r>
      <w:r w:rsidRPr="00274C18">
        <w:rPr>
          <w:rStyle w:val="Heading5Char"/>
          <w:rFonts w:eastAsia="Calibri"/>
        </w:rPr>
        <w:br/>
      </w:r>
      <w:r w:rsidR="006F6D32">
        <w:rPr>
          <w:bdr w:val="none" w:sz="0" w:space="0" w:color="auto" w:frame="1"/>
        </w:rPr>
        <w:t>Ana Alvarez</w:t>
      </w:r>
      <w:r w:rsidR="00AF6B41">
        <w:rPr>
          <w:bdr w:val="none" w:sz="0" w:space="0" w:color="auto" w:frame="1"/>
        </w:rPr>
        <w:t xml:space="preserve"> disclosed that she</w:t>
      </w:r>
      <w:r w:rsidRPr="00E3382B">
        <w:rPr>
          <w:bdr w:val="none" w:sz="0" w:space="0" w:color="auto" w:frame="1"/>
        </w:rPr>
        <w:t xml:space="preserve"> has no relevant financial relationships.  No one else in a position to control the content of this activity has any financial relationships to disclose.</w:t>
      </w:r>
    </w:p>
    <w:p w:rsidR="00AF6B41" w:rsidRDefault="00AF6B41" w:rsidP="00054716">
      <w:pPr>
        <w:pStyle w:val="ListBullet"/>
        <w:numPr>
          <w:ilvl w:val="0"/>
          <w:numId w:val="0"/>
        </w:numPr>
        <w:rPr>
          <w:bdr w:val="none" w:sz="0" w:space="0" w:color="auto" w:frame="1"/>
        </w:rPr>
      </w:pPr>
    </w:p>
    <w:p w:rsidR="00F23AE1" w:rsidRDefault="00F23AE1" w:rsidP="00F23AE1">
      <w:pPr>
        <w:pStyle w:val="ListBullet"/>
        <w:numPr>
          <w:ilvl w:val="0"/>
          <w:numId w:val="0"/>
        </w:numPr>
        <w:rPr>
          <w:bdr w:val="none" w:sz="0" w:space="0" w:color="auto" w:frame="1"/>
        </w:rPr>
      </w:pPr>
      <w:r w:rsidRPr="00F23AE1">
        <w:rPr>
          <w:bdr w:val="none" w:sz="0" w:space="0" w:color="auto" w:frame="1"/>
        </w:rPr>
        <w:t xml:space="preserve">Ayesha Mirza </w:t>
      </w:r>
      <w:r w:rsidRPr="006F6D32">
        <w:rPr>
          <w:bdr w:val="none" w:sz="0" w:space="0" w:color="auto" w:frame="1"/>
        </w:rPr>
        <w:t>disclosed that she has no relevant financial relationships.  No one else in a position to control the content of this activity has any financial relationships to disclose.</w:t>
      </w:r>
    </w:p>
    <w:p w:rsidR="00F23AE1" w:rsidRDefault="00F23AE1" w:rsidP="00F23AE1">
      <w:pPr>
        <w:pStyle w:val="ListBullet"/>
        <w:numPr>
          <w:ilvl w:val="0"/>
          <w:numId w:val="0"/>
        </w:numPr>
        <w:rPr>
          <w:bdr w:val="none" w:sz="0" w:space="0" w:color="auto" w:frame="1"/>
        </w:rPr>
      </w:pPr>
    </w:p>
    <w:p w:rsidR="006F6D32" w:rsidRDefault="005F216B" w:rsidP="00AF6B41">
      <w:pPr>
        <w:pStyle w:val="ListBullet"/>
        <w:numPr>
          <w:ilvl w:val="0"/>
          <w:numId w:val="0"/>
        </w:numPr>
        <w:rPr>
          <w:bdr w:val="none" w:sz="0" w:space="0" w:color="auto" w:frame="1"/>
        </w:rPr>
      </w:pPr>
      <w:r w:rsidRPr="005F216B">
        <w:t>Amina Ahmed</w:t>
      </w:r>
      <w:r w:rsidR="006F6D32" w:rsidRPr="006F6D32">
        <w:rPr>
          <w:bdr w:val="none" w:sz="0" w:space="0" w:color="auto" w:frame="1"/>
        </w:rPr>
        <w:t xml:space="preserve"> </w:t>
      </w:r>
      <w:r w:rsidR="00AF6B41">
        <w:rPr>
          <w:bdr w:val="none" w:sz="0" w:space="0" w:color="auto" w:frame="1"/>
        </w:rPr>
        <w:t>disclosed that she</w:t>
      </w:r>
      <w:r>
        <w:rPr>
          <w:bdr w:val="none" w:sz="0" w:space="0" w:color="auto" w:frame="1"/>
        </w:rPr>
        <w:t xml:space="preserve"> </w:t>
      </w:r>
      <w:r w:rsidRPr="005F216B">
        <w:rPr>
          <w:bdr w:val="none" w:sz="0" w:space="0" w:color="auto" w:frame="1"/>
        </w:rPr>
        <w:t>receives grant support from</w:t>
      </w:r>
      <w:r>
        <w:rPr>
          <w:bdr w:val="none" w:sz="0" w:space="0" w:color="auto" w:frame="1"/>
        </w:rPr>
        <w:t xml:space="preserve"> the CDC for latent tuberculosis research</w:t>
      </w:r>
      <w:r w:rsidR="00AF6B41" w:rsidRPr="00E3382B">
        <w:rPr>
          <w:bdr w:val="none" w:sz="0" w:space="0" w:color="auto" w:frame="1"/>
        </w:rPr>
        <w:t>.  </w:t>
      </w:r>
    </w:p>
    <w:p w:rsidR="00054716" w:rsidRPr="00E3382B" w:rsidRDefault="00054716" w:rsidP="00054716">
      <w:pPr>
        <w:pStyle w:val="ListBullet"/>
        <w:numPr>
          <w:ilvl w:val="0"/>
          <w:numId w:val="0"/>
        </w:numPr>
        <w:rPr>
          <w:rFonts w:ascii="Arial" w:hAnsi="Arial" w:cs="Arial"/>
          <w:color w:val="444444"/>
          <w:sz w:val="21"/>
          <w:szCs w:val="21"/>
        </w:rPr>
      </w:pPr>
    </w:p>
    <w:p w:rsidR="00AF6B41" w:rsidRDefault="00C6318B" w:rsidP="003038B8">
      <w:pPr>
        <w:pStyle w:val="ListBullet"/>
        <w:keepLines/>
        <w:numPr>
          <w:ilvl w:val="0"/>
          <w:numId w:val="0"/>
        </w:numPr>
      </w:pPr>
      <w:r w:rsidRPr="00274C18">
        <w:rPr>
          <w:rStyle w:val="Heading5Char"/>
          <w:rFonts w:eastAsia="Calibr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23184</wp:posOffset>
            </wp:positionH>
            <wp:positionV relativeFrom="margin">
              <wp:posOffset>4084248</wp:posOffset>
            </wp:positionV>
            <wp:extent cx="1647825" cy="415290"/>
            <wp:effectExtent l="0" t="0" r="9525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F Contunuing-Medical-Educatio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1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716" w:rsidRPr="00274C18">
        <w:rPr>
          <w:rStyle w:val="Heading5Char"/>
          <w:rFonts w:eastAsia="Calibri"/>
        </w:rPr>
        <w:t xml:space="preserve">Continuing Medical Education </w:t>
      </w:r>
      <w:proofErr w:type="gramStart"/>
      <w:r w:rsidR="00054716" w:rsidRPr="00274C18">
        <w:rPr>
          <w:rStyle w:val="Heading5Char"/>
          <w:rFonts w:eastAsia="Calibri"/>
        </w:rPr>
        <w:t>Credit</w:t>
      </w:r>
      <w:r w:rsidR="00054716" w:rsidRPr="00274C18">
        <w:rPr>
          <w:rStyle w:val="Heading5Char"/>
          <w:rFonts w:eastAsia="Calibri"/>
        </w:rPr>
        <w:br/>
      </w:r>
      <w:r w:rsidR="00AF6B41" w:rsidRPr="00AF6B41">
        <w:rPr>
          <w:b/>
          <w:bCs/>
          <w:bdr w:val="none" w:sz="0" w:space="0" w:color="auto" w:frame="1"/>
        </w:rPr>
        <w:t>Accreditation:</w:t>
      </w:r>
      <w:r w:rsidR="00AF6B41">
        <w:t xml:space="preserve"> The University of Florida College of Medicine is accredited by the Accreditation Council for Continuing Medical Education (ACCME) to provide continuing medical education for physicians</w:t>
      </w:r>
      <w:proofErr w:type="gramEnd"/>
      <w:r w:rsidR="00AF6B41">
        <w:t>.</w:t>
      </w:r>
    </w:p>
    <w:p w:rsidR="00AF6B41" w:rsidRDefault="00AF6B41" w:rsidP="003038B8">
      <w:pPr>
        <w:pStyle w:val="ListBullet"/>
        <w:keepLines/>
        <w:numPr>
          <w:ilvl w:val="0"/>
          <w:numId w:val="0"/>
        </w:numPr>
      </w:pPr>
    </w:p>
    <w:p w:rsidR="00054716" w:rsidRDefault="00AF6B41" w:rsidP="00AF6B41">
      <w:pPr>
        <w:pStyle w:val="ListBullet"/>
        <w:numPr>
          <w:ilvl w:val="0"/>
          <w:numId w:val="0"/>
        </w:numPr>
      </w:pPr>
      <w:r w:rsidRPr="00AF6B41">
        <w:rPr>
          <w:b/>
          <w:bCs/>
          <w:bdr w:val="none" w:sz="0" w:space="0" w:color="auto" w:frame="1"/>
        </w:rPr>
        <w:t>Credit:</w:t>
      </w:r>
      <w:r>
        <w:t xml:space="preserve"> The University </w:t>
      </w:r>
      <w:proofErr w:type="gramStart"/>
      <w:r>
        <w:t>of Florida College of</w:t>
      </w:r>
      <w:proofErr w:type="gramEnd"/>
      <w:r>
        <w:t xml:space="preserve"> Medicine designates this enduring material for a maximum of </w:t>
      </w:r>
      <w:r w:rsidR="005F216B">
        <w:rPr>
          <w:i/>
        </w:rPr>
        <w:t>2</w:t>
      </w:r>
      <w:r w:rsidRPr="00AF6B41">
        <w:rPr>
          <w:i/>
        </w:rPr>
        <w:t xml:space="preserve"> AMA PRA Category 1 Credits™.</w:t>
      </w:r>
      <w:r>
        <w:t xml:space="preserve"> Physicians should claim only the credit commensurate with the extent of their participation in the activity.</w:t>
      </w:r>
    </w:p>
    <w:p w:rsidR="00AF6B41" w:rsidRDefault="00AF6B41" w:rsidP="00AF6B41">
      <w:pPr>
        <w:pStyle w:val="ListBullet"/>
        <w:numPr>
          <w:ilvl w:val="0"/>
          <w:numId w:val="0"/>
        </w:numPr>
        <w:rPr>
          <w:rFonts w:ascii="inherit" w:hAnsi="inherit" w:cs="Arial"/>
          <w:b/>
          <w:bCs/>
          <w:color w:val="444444"/>
          <w:sz w:val="21"/>
          <w:szCs w:val="21"/>
          <w:bdr w:val="none" w:sz="0" w:space="0" w:color="auto" w:frame="1"/>
        </w:rPr>
      </w:pPr>
    </w:p>
    <w:p w:rsidR="00054716" w:rsidRPr="00443EF0" w:rsidRDefault="00054716" w:rsidP="00054716">
      <w:pPr>
        <w:pStyle w:val="ListBullet"/>
        <w:numPr>
          <w:ilvl w:val="0"/>
          <w:numId w:val="0"/>
        </w:numPr>
        <w:rPr>
          <w:rFonts w:ascii="Arial" w:hAnsi="Arial" w:cs="Arial"/>
          <w:color w:val="444444"/>
          <w:sz w:val="21"/>
          <w:szCs w:val="21"/>
        </w:rPr>
      </w:pPr>
      <w:r w:rsidRPr="00AF6B41">
        <w:rPr>
          <w:b/>
          <w:bCs/>
          <w:bdr w:val="none" w:sz="0" w:space="0" w:color="auto" w:frame="1"/>
        </w:rPr>
        <w:t>Release Date:</w:t>
      </w:r>
      <w:r w:rsidRPr="00E3382B">
        <w:rPr>
          <w:rFonts w:ascii="inherit" w:hAnsi="inherit" w:cs="Arial"/>
          <w:b/>
          <w:bCs/>
          <w:color w:val="444444"/>
          <w:sz w:val="21"/>
          <w:szCs w:val="21"/>
          <w:bdr w:val="none" w:sz="0" w:space="0" w:color="auto" w:frame="1"/>
        </w:rPr>
        <w:t> </w:t>
      </w:r>
      <w:r w:rsidR="00274C18">
        <w:rPr>
          <w:bdr w:val="none" w:sz="0" w:space="0" w:color="auto" w:frame="1"/>
        </w:rPr>
        <w:t>January</w:t>
      </w:r>
      <w:r w:rsidR="00AF6B41" w:rsidRPr="00AF6B41">
        <w:rPr>
          <w:bdr w:val="none" w:sz="0" w:space="0" w:color="auto" w:frame="1"/>
        </w:rPr>
        <w:t xml:space="preserve"> 1, 201</w:t>
      </w:r>
      <w:r w:rsidR="00274C18">
        <w:rPr>
          <w:bdr w:val="none" w:sz="0" w:space="0" w:color="auto" w:frame="1"/>
        </w:rPr>
        <w:t>9</w:t>
      </w:r>
    </w:p>
    <w:p w:rsidR="00AF6B41" w:rsidRDefault="00054716" w:rsidP="00AF6B41">
      <w:pPr>
        <w:pStyle w:val="ListBullet"/>
        <w:numPr>
          <w:ilvl w:val="0"/>
          <w:numId w:val="0"/>
        </w:numPr>
        <w:rPr>
          <w:rFonts w:ascii="Helvetica" w:hAnsi="Helvetica" w:cs="Helvetica"/>
          <w:color w:val="333333"/>
          <w:sz w:val="20"/>
          <w:szCs w:val="20"/>
          <w:bdr w:val="none" w:sz="0" w:space="0" w:color="auto" w:frame="1"/>
        </w:rPr>
      </w:pPr>
      <w:r w:rsidRPr="00E3382B">
        <w:rPr>
          <w:b/>
          <w:bCs/>
          <w:bdr w:val="none" w:sz="0" w:space="0" w:color="auto" w:frame="1"/>
        </w:rPr>
        <w:t>Expiration Date:</w:t>
      </w:r>
      <w:r w:rsidRPr="00E3382B">
        <w:rPr>
          <w:rFonts w:ascii="Arial" w:hAnsi="Arial"/>
        </w:rPr>
        <w:t> </w:t>
      </w:r>
      <w:r w:rsidR="00274C18">
        <w:rPr>
          <w:bdr w:val="none" w:sz="0" w:space="0" w:color="auto" w:frame="1"/>
        </w:rPr>
        <w:t>December</w:t>
      </w:r>
      <w:r w:rsidR="00AF6B41" w:rsidRPr="00A252BB">
        <w:rPr>
          <w:bdr w:val="none" w:sz="0" w:space="0" w:color="auto" w:frame="1"/>
        </w:rPr>
        <w:t xml:space="preserve"> 31, 2020</w:t>
      </w:r>
    </w:p>
    <w:p w:rsidR="00AF6B41" w:rsidRDefault="00AF6B41" w:rsidP="003038B8">
      <w:pPr>
        <w:pStyle w:val="Heading5"/>
        <w:keepLines/>
      </w:pPr>
      <w:r>
        <w:t>Continuing Education</w:t>
      </w:r>
    </w:p>
    <w:p w:rsidR="00AF6B41" w:rsidRDefault="00C6318B" w:rsidP="003038B8">
      <w:pPr>
        <w:keepLines/>
      </w:pPr>
      <w:r>
        <w:rPr>
          <w:b/>
          <w:bCs/>
          <w:noProof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16714</wp:posOffset>
            </wp:positionH>
            <wp:positionV relativeFrom="margin">
              <wp:posOffset>6295690</wp:posOffset>
            </wp:positionV>
            <wp:extent cx="1520190" cy="904875"/>
            <wp:effectExtent l="0" t="0" r="381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 aetc 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6B41" w:rsidRPr="00AF6B41">
        <w:rPr>
          <w:b/>
          <w:bCs/>
          <w:bdr w:val="none" w:sz="0" w:space="0" w:color="auto" w:frame="1"/>
        </w:rPr>
        <w:t>Accreditation:</w:t>
      </w:r>
      <w:r w:rsidR="00AF6B41">
        <w:t xml:space="preserve"> </w:t>
      </w:r>
      <w:r w:rsidR="00AF6B41" w:rsidRPr="00AF6B41">
        <w:t xml:space="preserve">North Florida AIDS Education and Training Center is a Florida Board of Nursing, Clinical Social Work, Marriage, Family Therapy, Mental Health Counseling, Pharmacy and Dentistry approved provider of continuing education. CE Broker Provider ID #50-21098. For questions regarding CE or CME, please contact our Continuing Education Coordinator at </w:t>
      </w:r>
      <w:hyperlink r:id="rId11" w:history="1">
        <w:r w:rsidR="00AF6B41" w:rsidRPr="00C5584D">
          <w:rPr>
            <w:rStyle w:val="Hyperlink"/>
            <w:rFonts w:asciiTheme="minorHAnsi" w:hAnsiTheme="minorHAnsi"/>
          </w:rPr>
          <w:t>aetc@medicine.ufl.edu</w:t>
        </w:r>
      </w:hyperlink>
      <w:r w:rsidR="00AF6B41">
        <w:t xml:space="preserve"> </w:t>
      </w:r>
      <w:r w:rsidR="00AF6B41" w:rsidRPr="00AF6B41">
        <w:t xml:space="preserve"> or 352.273.7845.</w:t>
      </w:r>
    </w:p>
    <w:p w:rsidR="00AF6B41" w:rsidRDefault="00AF6B41" w:rsidP="003038B8">
      <w:pPr>
        <w:keepLines/>
      </w:pPr>
    </w:p>
    <w:p w:rsidR="00A679CD" w:rsidRPr="00D228EE" w:rsidRDefault="00C6318B" w:rsidP="003038B8">
      <w:pPr>
        <w:keepLines/>
        <w:shd w:val="clear" w:color="auto" w:fill="FFFFFF"/>
        <w:textAlignment w:val="baseline"/>
      </w:pPr>
      <w:r w:rsidRPr="00D228EE">
        <w:rPr>
          <w:b/>
          <w:bCs/>
          <w:noProof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5479284</wp:posOffset>
            </wp:positionH>
            <wp:positionV relativeFrom="margin">
              <wp:posOffset>7309090</wp:posOffset>
            </wp:positionV>
            <wp:extent cx="866775" cy="657860"/>
            <wp:effectExtent l="0" t="0" r="9525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utomatically-reports-to-cebroke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9CD" w:rsidRPr="00D228EE">
        <w:rPr>
          <w:b/>
          <w:bCs/>
          <w:bdr w:val="none" w:sz="0" w:space="0" w:color="auto" w:frame="1"/>
        </w:rPr>
        <w:t>Credit:</w:t>
      </w:r>
      <w:r w:rsidR="00A679CD" w:rsidRPr="00A679CD">
        <w:rPr>
          <w:rFonts w:ascii="Segoe UI" w:eastAsia="Times New Roman" w:hAnsi="Segoe UI" w:cs="Segoe UI"/>
          <w:color w:val="24292E"/>
          <w:sz w:val="21"/>
          <w:szCs w:val="21"/>
        </w:rPr>
        <w:t> </w:t>
      </w:r>
      <w:r w:rsidR="00A679CD" w:rsidRPr="00D228EE">
        <w:t>North Florida AIDS Education and Training Center designates this enduring material for this program meets the requirements for up to </w:t>
      </w:r>
      <w:r w:rsidR="005F216B">
        <w:t>2</w:t>
      </w:r>
      <w:r w:rsidR="00A679CD" w:rsidRPr="00D228EE">
        <w:t>.00 contact hours. This progr</w:t>
      </w:r>
      <w:bookmarkStart w:id="0" w:name="_GoBack"/>
      <w:bookmarkEnd w:id="0"/>
      <w:r w:rsidR="00A679CD" w:rsidRPr="00D228EE">
        <w:t xml:space="preserve">am </w:t>
      </w:r>
      <w:proofErr w:type="gramStart"/>
      <w:r w:rsidR="00A679CD" w:rsidRPr="00D228EE">
        <w:t>is registered</w:t>
      </w:r>
      <w:proofErr w:type="gramEnd"/>
      <w:r w:rsidR="00A679CD" w:rsidRPr="00D228EE">
        <w:t xml:space="preserve"> in CE Broker, course number. Participants should claim only the credit commensurate with the extent of their participation in the activity.</w:t>
      </w:r>
    </w:p>
    <w:p w:rsidR="00A679CD" w:rsidRDefault="00A679CD" w:rsidP="00A679CD">
      <w:pPr>
        <w:shd w:val="clear" w:color="auto" w:fill="FFFFFF"/>
        <w:textAlignment w:val="baseline"/>
        <w:rPr>
          <w:rFonts w:ascii="inherit" w:eastAsia="Times New Roman" w:hAnsi="inherit" w:cs="Segoe UI"/>
          <w:b/>
          <w:bCs/>
          <w:color w:val="24292E"/>
          <w:sz w:val="21"/>
          <w:szCs w:val="21"/>
          <w:bdr w:val="none" w:sz="0" w:space="0" w:color="auto" w:frame="1"/>
        </w:rPr>
      </w:pPr>
    </w:p>
    <w:p w:rsidR="00AF6B41" w:rsidRPr="00274C18" w:rsidRDefault="00A679CD" w:rsidP="00274C18">
      <w:pPr>
        <w:shd w:val="clear" w:color="auto" w:fill="FFFFFF"/>
        <w:textAlignment w:val="baseline"/>
        <w:rPr>
          <w:rFonts w:ascii="Segoe UI" w:eastAsia="Times New Roman" w:hAnsi="Segoe UI" w:cs="Segoe UI"/>
          <w:color w:val="24292E"/>
          <w:sz w:val="21"/>
          <w:szCs w:val="21"/>
        </w:rPr>
      </w:pPr>
      <w:r w:rsidRPr="00D228EE">
        <w:rPr>
          <w:b/>
          <w:bCs/>
          <w:bdr w:val="none" w:sz="0" w:space="0" w:color="auto" w:frame="1"/>
        </w:rPr>
        <w:t>Disclosure information and potential conflicts of interest:</w:t>
      </w:r>
      <w:r w:rsidRPr="00A679CD">
        <w:rPr>
          <w:rFonts w:ascii="inherit" w:eastAsia="Times New Roman" w:hAnsi="inherit" w:cs="Segoe UI"/>
          <w:b/>
          <w:bCs/>
          <w:color w:val="24292E"/>
          <w:sz w:val="21"/>
          <w:szCs w:val="21"/>
          <w:bdr w:val="none" w:sz="0" w:space="0" w:color="auto" w:frame="1"/>
        </w:rPr>
        <w:t> </w:t>
      </w:r>
      <w:r w:rsidRPr="00D228EE">
        <w:t xml:space="preserve">North Florida AIDS Education and Training Center (NF AETC) holds the standard that its continuing education programs should be free of commercial bias and conflict of </w:t>
      </w:r>
      <w:r w:rsidRPr="00D228EE">
        <w:lastRenderedPageBreak/>
        <w:t xml:space="preserve">interest. It is the policy of the NF AETC that each presenter and planning committee member of any CE activity must disclose any significant financial interest/arrangement or affiliation with corporate organizations whose products or services </w:t>
      </w:r>
      <w:proofErr w:type="gramStart"/>
      <w:r w:rsidRPr="00D228EE">
        <w:t>are being discussed</w:t>
      </w:r>
      <w:proofErr w:type="gramEnd"/>
      <w:r w:rsidRPr="00D228EE">
        <w:t xml:space="preserve"> in a presentation.  All commercial support of an educational activity </w:t>
      </w:r>
      <w:proofErr w:type="gramStart"/>
      <w:r w:rsidRPr="00D228EE">
        <w:t>must also be disclosed</w:t>
      </w:r>
      <w:proofErr w:type="gramEnd"/>
      <w:r w:rsidRPr="00D228EE">
        <w:t xml:space="preserve"> to the conference attendees. Each individual with influence over content has completed a disclosure form indicating that neither they nor members of their immediate family have any financial interest, arrangement, or affiliation in any amount that </w:t>
      </w:r>
      <w:proofErr w:type="gramStart"/>
      <w:r w:rsidRPr="00D228EE">
        <w:t>could be perceived</w:t>
      </w:r>
      <w:proofErr w:type="gramEnd"/>
      <w:r w:rsidRPr="00D228EE">
        <w:t xml:space="preserve"> as a real or apparent conflict of interest related to the content or supporters involved with this activity within the past 12 months.</w:t>
      </w:r>
    </w:p>
    <w:p w:rsidR="003A5319" w:rsidRPr="00AF6B41" w:rsidRDefault="00B95FF6" w:rsidP="00274C18">
      <w:pPr>
        <w:pStyle w:val="Heading5"/>
      </w:pPr>
      <w:r w:rsidRPr="00AF6B41">
        <w:t>Questions</w:t>
      </w:r>
    </w:p>
    <w:p w:rsidR="00EE4C19" w:rsidRPr="00BC7E83" w:rsidRDefault="003A5319" w:rsidP="003F6760">
      <w:r>
        <w:t xml:space="preserve">For more information, contact </w:t>
      </w:r>
      <w:r w:rsidR="002122D2">
        <w:t>SNTC</w:t>
      </w:r>
      <w:r w:rsidR="00054882">
        <w:t xml:space="preserve"> at </w:t>
      </w:r>
      <w:hyperlink r:id="rId13" w:history="1">
        <w:r w:rsidR="002122D2" w:rsidRPr="00C5584D">
          <w:rPr>
            <w:rStyle w:val="Hyperlink"/>
            <w:rFonts w:asciiTheme="minorHAnsi" w:hAnsiTheme="minorHAnsi"/>
          </w:rPr>
          <w:t>sntc@medicine.ufl.edu</w:t>
        </w:r>
      </w:hyperlink>
      <w:r w:rsidR="002122D2">
        <w:t xml:space="preserve"> or</w:t>
      </w:r>
      <w:r>
        <w:t xml:space="preserve"> 888-265-7682.</w:t>
      </w:r>
    </w:p>
    <w:sectPr w:rsidR="00EE4C19" w:rsidRPr="00BC7E83" w:rsidSect="00C01A11">
      <w:headerReference w:type="default" r:id="rId14"/>
      <w:footerReference w:type="default" r:id="rId15"/>
      <w:type w:val="continuous"/>
      <w:pgSz w:w="12240" w:h="15840" w:code="1"/>
      <w:pgMar w:top="1620" w:right="1008" w:bottom="540" w:left="1008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9FA" w:rsidRDefault="00D739FA" w:rsidP="00872642">
      <w:r>
        <w:separator/>
      </w:r>
    </w:p>
  </w:endnote>
  <w:endnote w:type="continuationSeparator" w:id="0">
    <w:p w:rsidR="00D739FA" w:rsidRDefault="00D739FA" w:rsidP="00872642">
      <w:r>
        <w:continuationSeparator/>
      </w:r>
    </w:p>
  </w:endnote>
  <w:endnote w:type="continuationNotice" w:id="1">
    <w:p w:rsidR="00E3382B" w:rsidRDefault="00E338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D9" w:rsidRDefault="00D67DD9">
    <w:pPr>
      <w:pStyle w:val="Footer"/>
    </w:pPr>
    <w:r>
      <w:t xml:space="preserve">Southeastern National Tuberculosis Center (SNTC)  </w:t>
    </w:r>
    <w:r>
      <w:sym w:font="Wingdings 2" w:char="F097"/>
    </w:r>
    <w:r>
      <w:t xml:space="preserve">  888-265-7682  </w:t>
    </w:r>
    <w:r>
      <w:sym w:font="Wingdings 2" w:char="F097"/>
    </w:r>
    <w:r>
      <w:t xml:space="preserve">  http://sntc.medicine.ufl.edu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9FA" w:rsidRDefault="00D739FA" w:rsidP="00872642">
      <w:r>
        <w:separator/>
      </w:r>
    </w:p>
  </w:footnote>
  <w:footnote w:type="continuationSeparator" w:id="0">
    <w:p w:rsidR="00D739FA" w:rsidRDefault="00D739FA" w:rsidP="00872642">
      <w:r>
        <w:continuationSeparator/>
      </w:r>
    </w:p>
  </w:footnote>
  <w:footnote w:type="continuationNotice" w:id="1">
    <w:p w:rsidR="00E3382B" w:rsidRDefault="00E338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D9" w:rsidRDefault="00863DB0" w:rsidP="00863DB0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B7B8B5E" wp14:editId="1D9E434F">
          <wp:simplePos x="0" y="0"/>
          <wp:positionH relativeFrom="column">
            <wp:posOffset>5131435</wp:posOffset>
          </wp:positionH>
          <wp:positionV relativeFrom="paragraph">
            <wp:posOffset>-61595</wp:posOffset>
          </wp:positionV>
          <wp:extent cx="1369695" cy="457835"/>
          <wp:effectExtent l="0" t="0" r="1905" b="0"/>
          <wp:wrapNone/>
          <wp:docPr id="8" name="Picture 8" descr="S:\TB Center\Graphics - All\Logos\SNTC\SNTC - Lar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:\TB Center\Graphics - All\Logos\SNTC\SNTC - Lar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695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B88DCFA" wp14:editId="2C925443">
          <wp:extent cx="1284776" cy="356681"/>
          <wp:effectExtent l="0" t="0" r="0" b="5715"/>
          <wp:docPr id="9" name="Picture 9" descr="S:\TB Center\Graphics - All\Logos\UF\UFsignatureThemeline[1]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TB Center\Graphics - All\Logos\UF\UFsignatureThemeline[1].tif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307" cy="356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D9874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0ACB2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EA470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ADEB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9106F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B880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3662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6A12DA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14069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2C86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16956"/>
    <w:multiLevelType w:val="hybridMultilevel"/>
    <w:tmpl w:val="C068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435E58"/>
    <w:multiLevelType w:val="hybridMultilevel"/>
    <w:tmpl w:val="34D40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FA33A5"/>
    <w:multiLevelType w:val="hybridMultilevel"/>
    <w:tmpl w:val="005876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6A7560"/>
    <w:multiLevelType w:val="hybridMultilevel"/>
    <w:tmpl w:val="8F426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36818"/>
    <w:multiLevelType w:val="hybridMultilevel"/>
    <w:tmpl w:val="72885D1C"/>
    <w:lvl w:ilvl="0" w:tplc="E31C5CA2">
      <w:start w:val="1"/>
      <w:numFmt w:val="bullet"/>
      <w:pStyle w:val="List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15" w15:restartNumberingAfterBreak="0">
    <w:nsid w:val="1BD43B79"/>
    <w:multiLevelType w:val="hybridMultilevel"/>
    <w:tmpl w:val="8F123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B902A3"/>
    <w:multiLevelType w:val="multilevel"/>
    <w:tmpl w:val="CEC28C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AC4ECC"/>
    <w:multiLevelType w:val="hybridMultilevel"/>
    <w:tmpl w:val="6D04B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03570"/>
    <w:multiLevelType w:val="hybridMultilevel"/>
    <w:tmpl w:val="FDA6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A0DFF"/>
    <w:multiLevelType w:val="hybridMultilevel"/>
    <w:tmpl w:val="6A7A3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F2846"/>
    <w:multiLevelType w:val="hybridMultilevel"/>
    <w:tmpl w:val="512C9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4D3A93"/>
    <w:multiLevelType w:val="hybridMultilevel"/>
    <w:tmpl w:val="EAC636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39D97E9E"/>
    <w:multiLevelType w:val="hybridMultilevel"/>
    <w:tmpl w:val="D416F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F39B7"/>
    <w:multiLevelType w:val="hybridMultilevel"/>
    <w:tmpl w:val="ACF4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66C4F"/>
    <w:multiLevelType w:val="multilevel"/>
    <w:tmpl w:val="9E64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01F0D0F"/>
    <w:multiLevelType w:val="multilevel"/>
    <w:tmpl w:val="6816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4244339"/>
    <w:multiLevelType w:val="hybridMultilevel"/>
    <w:tmpl w:val="455E8D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1C6B3C"/>
    <w:multiLevelType w:val="hybridMultilevel"/>
    <w:tmpl w:val="AE207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282CA4"/>
    <w:multiLevelType w:val="hybridMultilevel"/>
    <w:tmpl w:val="887A3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D365A"/>
    <w:multiLevelType w:val="hybridMultilevel"/>
    <w:tmpl w:val="CA92E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694B83"/>
    <w:multiLevelType w:val="multilevel"/>
    <w:tmpl w:val="55D2C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965802"/>
    <w:multiLevelType w:val="hybridMultilevel"/>
    <w:tmpl w:val="04184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22"/>
  </w:num>
  <w:num w:numId="18">
    <w:abstractNumId w:val="11"/>
  </w:num>
  <w:num w:numId="19">
    <w:abstractNumId w:val="27"/>
  </w:num>
  <w:num w:numId="20">
    <w:abstractNumId w:val="10"/>
  </w:num>
  <w:num w:numId="21">
    <w:abstractNumId w:val="18"/>
  </w:num>
  <w:num w:numId="22">
    <w:abstractNumId w:val="15"/>
  </w:num>
  <w:num w:numId="23">
    <w:abstractNumId w:val="26"/>
  </w:num>
  <w:num w:numId="24">
    <w:abstractNumId w:val="31"/>
  </w:num>
  <w:num w:numId="25">
    <w:abstractNumId w:val="21"/>
  </w:num>
  <w:num w:numId="26">
    <w:abstractNumId w:val="24"/>
  </w:num>
  <w:num w:numId="27">
    <w:abstractNumId w:val="25"/>
  </w:num>
  <w:num w:numId="28">
    <w:abstractNumId w:val="16"/>
  </w:num>
  <w:num w:numId="29">
    <w:abstractNumId w:val="30"/>
  </w:num>
  <w:num w:numId="30">
    <w:abstractNumId w:val="12"/>
  </w:num>
  <w:num w:numId="31">
    <w:abstractNumId w:val="23"/>
  </w:num>
  <w:num w:numId="32">
    <w:abstractNumId w:val="20"/>
  </w:num>
  <w:num w:numId="33">
    <w:abstractNumId w:val="19"/>
  </w:num>
  <w:num w:numId="34">
    <w:abstractNumId w:val="29"/>
  </w:num>
  <w:num w:numId="35">
    <w:abstractNumId w:val="17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2MjUysjCwMDI3sDBV0lEKTi0uzszPAykwNKgFACmhM3MtAAAA"/>
  </w:docVars>
  <w:rsids>
    <w:rsidRoot w:val="00817294"/>
    <w:rsid w:val="0000350E"/>
    <w:rsid w:val="00010B27"/>
    <w:rsid w:val="00013557"/>
    <w:rsid w:val="0001692C"/>
    <w:rsid w:val="000275A8"/>
    <w:rsid w:val="000329A6"/>
    <w:rsid w:val="000362F9"/>
    <w:rsid w:val="00040316"/>
    <w:rsid w:val="000474FE"/>
    <w:rsid w:val="00051F71"/>
    <w:rsid w:val="00054716"/>
    <w:rsid w:val="00054882"/>
    <w:rsid w:val="00061615"/>
    <w:rsid w:val="00062170"/>
    <w:rsid w:val="000718D3"/>
    <w:rsid w:val="000740D4"/>
    <w:rsid w:val="0008311B"/>
    <w:rsid w:val="0009078D"/>
    <w:rsid w:val="000B1325"/>
    <w:rsid w:val="000D6274"/>
    <w:rsid w:val="000D759A"/>
    <w:rsid w:val="000E5C8B"/>
    <w:rsid w:val="00100EBE"/>
    <w:rsid w:val="00105074"/>
    <w:rsid w:val="00112895"/>
    <w:rsid w:val="00113167"/>
    <w:rsid w:val="00126898"/>
    <w:rsid w:val="0018378D"/>
    <w:rsid w:val="00195EAD"/>
    <w:rsid w:val="001973E8"/>
    <w:rsid w:val="001B7E56"/>
    <w:rsid w:val="001E15ED"/>
    <w:rsid w:val="001E2867"/>
    <w:rsid w:val="001E452F"/>
    <w:rsid w:val="00210EB0"/>
    <w:rsid w:val="002122D2"/>
    <w:rsid w:val="002130C9"/>
    <w:rsid w:val="002238F1"/>
    <w:rsid w:val="00235532"/>
    <w:rsid w:val="0024015F"/>
    <w:rsid w:val="002432D9"/>
    <w:rsid w:val="002505E8"/>
    <w:rsid w:val="002658FC"/>
    <w:rsid w:val="00274C18"/>
    <w:rsid w:val="00283DC4"/>
    <w:rsid w:val="0029394A"/>
    <w:rsid w:val="002A071D"/>
    <w:rsid w:val="002A1CD9"/>
    <w:rsid w:val="002C2A0C"/>
    <w:rsid w:val="002C4624"/>
    <w:rsid w:val="002C7C0C"/>
    <w:rsid w:val="002D4501"/>
    <w:rsid w:val="002F0521"/>
    <w:rsid w:val="003038B8"/>
    <w:rsid w:val="00326E51"/>
    <w:rsid w:val="003436D6"/>
    <w:rsid w:val="00345093"/>
    <w:rsid w:val="003516CD"/>
    <w:rsid w:val="00353F4F"/>
    <w:rsid w:val="003578A8"/>
    <w:rsid w:val="003774BD"/>
    <w:rsid w:val="00380586"/>
    <w:rsid w:val="00382966"/>
    <w:rsid w:val="0038548D"/>
    <w:rsid w:val="003A5319"/>
    <w:rsid w:val="003F6760"/>
    <w:rsid w:val="00404CC0"/>
    <w:rsid w:val="004070DE"/>
    <w:rsid w:val="00422056"/>
    <w:rsid w:val="00425B25"/>
    <w:rsid w:val="00441C8A"/>
    <w:rsid w:val="004420CA"/>
    <w:rsid w:val="00443EF0"/>
    <w:rsid w:val="00444543"/>
    <w:rsid w:val="00445FF2"/>
    <w:rsid w:val="00460797"/>
    <w:rsid w:val="0046192E"/>
    <w:rsid w:val="00463524"/>
    <w:rsid w:val="004713DF"/>
    <w:rsid w:val="00471FB1"/>
    <w:rsid w:val="00472877"/>
    <w:rsid w:val="004744E3"/>
    <w:rsid w:val="00484B50"/>
    <w:rsid w:val="00493C44"/>
    <w:rsid w:val="00496CEB"/>
    <w:rsid w:val="004A07E4"/>
    <w:rsid w:val="004C4264"/>
    <w:rsid w:val="004E0731"/>
    <w:rsid w:val="004E240A"/>
    <w:rsid w:val="00511596"/>
    <w:rsid w:val="005323DD"/>
    <w:rsid w:val="00533410"/>
    <w:rsid w:val="00540826"/>
    <w:rsid w:val="005536B8"/>
    <w:rsid w:val="005645B9"/>
    <w:rsid w:val="00570D49"/>
    <w:rsid w:val="005A5AB6"/>
    <w:rsid w:val="005A6330"/>
    <w:rsid w:val="005C17AA"/>
    <w:rsid w:val="005E059D"/>
    <w:rsid w:val="005F216B"/>
    <w:rsid w:val="005F3A19"/>
    <w:rsid w:val="006057F8"/>
    <w:rsid w:val="006063CD"/>
    <w:rsid w:val="00614269"/>
    <w:rsid w:val="00623D3C"/>
    <w:rsid w:val="006325D3"/>
    <w:rsid w:val="00640C8C"/>
    <w:rsid w:val="00654861"/>
    <w:rsid w:val="00662AE7"/>
    <w:rsid w:val="00664BB7"/>
    <w:rsid w:val="00671A75"/>
    <w:rsid w:val="00672842"/>
    <w:rsid w:val="00682AC5"/>
    <w:rsid w:val="006925BF"/>
    <w:rsid w:val="0069320F"/>
    <w:rsid w:val="00694EC0"/>
    <w:rsid w:val="006A1CDE"/>
    <w:rsid w:val="006C3A34"/>
    <w:rsid w:val="006F1020"/>
    <w:rsid w:val="006F663E"/>
    <w:rsid w:val="006F6D32"/>
    <w:rsid w:val="006F6F85"/>
    <w:rsid w:val="00710494"/>
    <w:rsid w:val="00715BF3"/>
    <w:rsid w:val="00723EEC"/>
    <w:rsid w:val="0074741A"/>
    <w:rsid w:val="00752F98"/>
    <w:rsid w:val="00761261"/>
    <w:rsid w:val="007622E4"/>
    <w:rsid w:val="00765AB8"/>
    <w:rsid w:val="007A11CD"/>
    <w:rsid w:val="007A4214"/>
    <w:rsid w:val="007B2BEF"/>
    <w:rsid w:val="007F6887"/>
    <w:rsid w:val="008148DC"/>
    <w:rsid w:val="00817294"/>
    <w:rsid w:val="00830848"/>
    <w:rsid w:val="00834849"/>
    <w:rsid w:val="00851189"/>
    <w:rsid w:val="008517BC"/>
    <w:rsid w:val="008540A4"/>
    <w:rsid w:val="00863DB0"/>
    <w:rsid w:val="008706F5"/>
    <w:rsid w:val="00872642"/>
    <w:rsid w:val="008811B6"/>
    <w:rsid w:val="00883EE3"/>
    <w:rsid w:val="008A6A92"/>
    <w:rsid w:val="008B235F"/>
    <w:rsid w:val="008E3676"/>
    <w:rsid w:val="0090760E"/>
    <w:rsid w:val="00921AC2"/>
    <w:rsid w:val="00922F09"/>
    <w:rsid w:val="00925DF5"/>
    <w:rsid w:val="00930CB0"/>
    <w:rsid w:val="00935290"/>
    <w:rsid w:val="00946002"/>
    <w:rsid w:val="00950F68"/>
    <w:rsid w:val="009619F4"/>
    <w:rsid w:val="009637FA"/>
    <w:rsid w:val="00990D37"/>
    <w:rsid w:val="00994002"/>
    <w:rsid w:val="009A1D61"/>
    <w:rsid w:val="009A2723"/>
    <w:rsid w:val="009A3A73"/>
    <w:rsid w:val="009B54C2"/>
    <w:rsid w:val="009C6CEE"/>
    <w:rsid w:val="009C7483"/>
    <w:rsid w:val="009E5012"/>
    <w:rsid w:val="009F41B1"/>
    <w:rsid w:val="00A01BFB"/>
    <w:rsid w:val="00A252BB"/>
    <w:rsid w:val="00A271A2"/>
    <w:rsid w:val="00A30E77"/>
    <w:rsid w:val="00A367ED"/>
    <w:rsid w:val="00A375A5"/>
    <w:rsid w:val="00A37F74"/>
    <w:rsid w:val="00A6005C"/>
    <w:rsid w:val="00A679CD"/>
    <w:rsid w:val="00A864EB"/>
    <w:rsid w:val="00AA14E5"/>
    <w:rsid w:val="00AC1AB4"/>
    <w:rsid w:val="00AD258D"/>
    <w:rsid w:val="00AF6B41"/>
    <w:rsid w:val="00B16287"/>
    <w:rsid w:val="00B3096F"/>
    <w:rsid w:val="00B432E2"/>
    <w:rsid w:val="00B47DC2"/>
    <w:rsid w:val="00B51D5D"/>
    <w:rsid w:val="00B722D0"/>
    <w:rsid w:val="00B80EB5"/>
    <w:rsid w:val="00B86D4A"/>
    <w:rsid w:val="00B95FF6"/>
    <w:rsid w:val="00BB1D9B"/>
    <w:rsid w:val="00BB3F3B"/>
    <w:rsid w:val="00BB59DB"/>
    <w:rsid w:val="00BC090F"/>
    <w:rsid w:val="00BC4914"/>
    <w:rsid w:val="00BC7E83"/>
    <w:rsid w:val="00BD0A3A"/>
    <w:rsid w:val="00C01A11"/>
    <w:rsid w:val="00C17E8D"/>
    <w:rsid w:val="00C250AE"/>
    <w:rsid w:val="00C50B54"/>
    <w:rsid w:val="00C50EC6"/>
    <w:rsid w:val="00C52743"/>
    <w:rsid w:val="00C566C0"/>
    <w:rsid w:val="00C5737B"/>
    <w:rsid w:val="00C6318B"/>
    <w:rsid w:val="00C66528"/>
    <w:rsid w:val="00C674BD"/>
    <w:rsid w:val="00CB6015"/>
    <w:rsid w:val="00CD3C03"/>
    <w:rsid w:val="00CD6621"/>
    <w:rsid w:val="00CD77DE"/>
    <w:rsid w:val="00CF2279"/>
    <w:rsid w:val="00D0227B"/>
    <w:rsid w:val="00D132C0"/>
    <w:rsid w:val="00D1589B"/>
    <w:rsid w:val="00D228EE"/>
    <w:rsid w:val="00D4489B"/>
    <w:rsid w:val="00D451CF"/>
    <w:rsid w:val="00D67DD9"/>
    <w:rsid w:val="00D71BCA"/>
    <w:rsid w:val="00D72780"/>
    <w:rsid w:val="00D7300F"/>
    <w:rsid w:val="00D739FA"/>
    <w:rsid w:val="00D742D0"/>
    <w:rsid w:val="00D800F8"/>
    <w:rsid w:val="00D90AD0"/>
    <w:rsid w:val="00DA24A7"/>
    <w:rsid w:val="00DE620F"/>
    <w:rsid w:val="00DE631B"/>
    <w:rsid w:val="00DF69B4"/>
    <w:rsid w:val="00E04D8C"/>
    <w:rsid w:val="00E13A21"/>
    <w:rsid w:val="00E16265"/>
    <w:rsid w:val="00E3382B"/>
    <w:rsid w:val="00E3689C"/>
    <w:rsid w:val="00E53B5C"/>
    <w:rsid w:val="00E5623E"/>
    <w:rsid w:val="00E57946"/>
    <w:rsid w:val="00E75720"/>
    <w:rsid w:val="00E84669"/>
    <w:rsid w:val="00E8483D"/>
    <w:rsid w:val="00EA2596"/>
    <w:rsid w:val="00ED2E56"/>
    <w:rsid w:val="00EE1879"/>
    <w:rsid w:val="00EE4C19"/>
    <w:rsid w:val="00EF1876"/>
    <w:rsid w:val="00EF4701"/>
    <w:rsid w:val="00EF4749"/>
    <w:rsid w:val="00EF7E53"/>
    <w:rsid w:val="00F02A87"/>
    <w:rsid w:val="00F174AA"/>
    <w:rsid w:val="00F23AE1"/>
    <w:rsid w:val="00F256B5"/>
    <w:rsid w:val="00F42E75"/>
    <w:rsid w:val="00F45869"/>
    <w:rsid w:val="00F4705E"/>
    <w:rsid w:val="00F56783"/>
    <w:rsid w:val="00F56D82"/>
    <w:rsid w:val="00F618E3"/>
    <w:rsid w:val="00F67E6B"/>
    <w:rsid w:val="00F67F41"/>
    <w:rsid w:val="00F80D80"/>
    <w:rsid w:val="00F905BB"/>
    <w:rsid w:val="00FD21DA"/>
    <w:rsid w:val="00FD37B6"/>
    <w:rsid w:val="00FE1AF3"/>
    <w:rsid w:val="00FE22A0"/>
    <w:rsid w:val="00FE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5:docId w15:val="{213014AB-D102-4338-80BC-21E42A1A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B27"/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1615"/>
    <w:pPr>
      <w:widowControl w:val="0"/>
      <w:jc w:val="center"/>
      <w:outlineLvl w:val="0"/>
    </w:pPr>
    <w:rPr>
      <w:rFonts w:asciiTheme="majorHAnsi" w:eastAsia="Times New Roman" w:hAnsiTheme="majorHAnsi"/>
      <w:bCs/>
      <w:color w:val="000000" w:themeColor="text1"/>
      <w:kern w:val="32"/>
      <w:sz w:val="50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9"/>
    <w:qFormat/>
    <w:rsid w:val="00B95FF6"/>
    <w:pPr>
      <w:widowControl w:val="0"/>
      <w:spacing w:before="40" w:after="40"/>
      <w:jc w:val="center"/>
      <w:outlineLvl w:val="1"/>
    </w:pPr>
    <w:rPr>
      <w:rFonts w:asciiTheme="majorHAnsi" w:eastAsia="Times New Roman" w:hAnsiTheme="majorHAnsi"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274C18"/>
    <w:pPr>
      <w:widowControl w:val="0"/>
      <w:spacing w:before="240"/>
      <w:jc w:val="center"/>
      <w:outlineLvl w:val="2"/>
    </w:pPr>
    <w:rPr>
      <w:rFonts w:asciiTheme="majorHAnsi" w:eastAsia="Times New Roman" w:hAnsiTheme="majorHAnsi"/>
      <w:bCs/>
      <w:color w:val="0073B3"/>
      <w:sz w:val="32"/>
      <w:szCs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4">
    <w:name w:val="heading 4"/>
    <w:basedOn w:val="Normal"/>
    <w:next w:val="Normal"/>
    <w:link w:val="Heading4Char"/>
    <w:uiPriority w:val="99"/>
    <w:qFormat/>
    <w:rsid w:val="000D6274"/>
    <w:pPr>
      <w:keepNext/>
      <w:jc w:val="center"/>
      <w:outlineLvl w:val="3"/>
    </w:pPr>
    <w:rPr>
      <w:rFonts w:asciiTheme="majorHAnsi" w:eastAsia="Times New Roman" w:hAnsiTheme="majorHAnsi"/>
      <w:bCs/>
      <w:color w:val="000000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274C18"/>
    <w:pPr>
      <w:widowControl w:val="0"/>
      <w:spacing w:before="360" w:after="60"/>
      <w:outlineLvl w:val="4"/>
    </w:pPr>
    <w:rPr>
      <w:rFonts w:asciiTheme="majorHAnsi" w:eastAsia="Times New Roman" w:hAnsiTheme="majorHAnsi"/>
      <w:b/>
      <w:i/>
      <w:color w:val="0073B3"/>
      <w:sz w:val="32"/>
    </w:rPr>
  </w:style>
  <w:style w:type="paragraph" w:styleId="Heading6">
    <w:name w:val="heading 6"/>
    <w:basedOn w:val="Normal"/>
    <w:next w:val="Normal"/>
    <w:link w:val="Heading6Char"/>
    <w:unhideWhenUsed/>
    <w:qFormat/>
    <w:locked/>
    <w:rsid w:val="00946002"/>
    <w:pPr>
      <w:widowControl w:val="0"/>
      <w:spacing w:after="40"/>
      <w:outlineLvl w:val="5"/>
    </w:pPr>
    <w:rPr>
      <w:rFonts w:eastAsiaTheme="majorEastAsia" w:cstheme="majorBidi"/>
      <w:b/>
      <w:i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1615"/>
    <w:rPr>
      <w:rFonts w:asciiTheme="majorHAnsi" w:eastAsia="Times New Roman" w:hAnsiTheme="majorHAnsi"/>
      <w:bCs/>
      <w:color w:val="000000" w:themeColor="text1"/>
      <w:kern w:val="32"/>
      <w:sz w:val="50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95FF6"/>
    <w:rPr>
      <w:rFonts w:asciiTheme="majorHAnsi" w:eastAsia="Times New Roman" w:hAnsiTheme="majorHAnsi"/>
      <w:bCs/>
      <w:i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74C18"/>
    <w:rPr>
      <w:rFonts w:asciiTheme="majorHAnsi" w:eastAsia="Times New Roman" w:hAnsiTheme="majorHAnsi"/>
      <w:bCs/>
      <w:color w:val="0073B3"/>
      <w:sz w:val="32"/>
      <w:szCs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D6274"/>
    <w:rPr>
      <w:rFonts w:asciiTheme="majorHAnsi" w:eastAsia="Times New Roman" w:hAnsiTheme="majorHAnsi"/>
      <w:bCs/>
      <w:color w:val="000000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74C18"/>
    <w:rPr>
      <w:rFonts w:asciiTheme="majorHAnsi" w:eastAsia="Times New Roman" w:hAnsiTheme="majorHAnsi"/>
      <w:b/>
      <w:i/>
      <w:color w:val="0073B3"/>
      <w:sz w:val="32"/>
      <w:szCs w:val="22"/>
    </w:rPr>
  </w:style>
  <w:style w:type="character" w:styleId="Hyperlink">
    <w:name w:val="Hyperlink"/>
    <w:basedOn w:val="DefaultParagraphFont"/>
    <w:uiPriority w:val="99"/>
    <w:rsid w:val="00010B27"/>
    <w:rPr>
      <w:rFonts w:ascii="Calibri" w:hAnsi="Calibri" w:cs="Times New Roman"/>
      <w:color w:val="3366FF"/>
      <w:sz w:val="22"/>
      <w:u w:val="single"/>
    </w:rPr>
  </w:style>
  <w:style w:type="paragraph" w:styleId="Title">
    <w:name w:val="Title"/>
    <w:basedOn w:val="Normal"/>
    <w:next w:val="Normal"/>
    <w:link w:val="TitleChar"/>
    <w:autoRedefine/>
    <w:uiPriority w:val="99"/>
    <w:qFormat/>
    <w:rsid w:val="00274C18"/>
    <w:pPr>
      <w:spacing w:after="120"/>
      <w:jc w:val="center"/>
      <w:outlineLvl w:val="0"/>
    </w:pPr>
    <w:rPr>
      <w:rFonts w:ascii="Cambria" w:eastAsia="Times New Roman" w:hAnsi="Cambria"/>
      <w:bCs/>
      <w:color w:val="0073B3"/>
      <w:kern w:val="28"/>
      <w:sz w:val="56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uiPriority w:val="99"/>
    <w:locked/>
    <w:rsid w:val="00274C18"/>
    <w:rPr>
      <w:rFonts w:ascii="Cambria" w:eastAsia="Times New Roman" w:hAnsi="Cambria"/>
      <w:bCs/>
      <w:color w:val="0073B3"/>
      <w:kern w:val="28"/>
      <w:sz w:val="56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loonText">
    <w:name w:val="Balloon Text"/>
    <w:basedOn w:val="Normal"/>
    <w:link w:val="BalloonTextChar"/>
    <w:uiPriority w:val="99"/>
    <w:semiHidden/>
    <w:rsid w:val="00C56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66C0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rsid w:val="00460797"/>
    <w:pPr>
      <w:numPr>
        <w:numId w:val="16"/>
      </w:numPr>
      <w:spacing w:after="20"/>
      <w:ind w:left="360"/>
    </w:pPr>
  </w:style>
  <w:style w:type="paragraph" w:styleId="Header">
    <w:name w:val="header"/>
    <w:basedOn w:val="Normal"/>
    <w:link w:val="HeaderChar"/>
    <w:uiPriority w:val="99"/>
    <w:semiHidden/>
    <w:rsid w:val="008726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2642"/>
    <w:rPr>
      <w:rFonts w:ascii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semiHidden/>
    <w:rsid w:val="001E15ED"/>
    <w:pPr>
      <w:tabs>
        <w:tab w:val="center" w:pos="4680"/>
        <w:tab w:val="right" w:pos="9360"/>
      </w:tabs>
      <w:jc w:val="center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E15ED"/>
    <w:rPr>
      <w:sz w:val="16"/>
      <w:szCs w:val="22"/>
    </w:rPr>
  </w:style>
  <w:style w:type="paragraph" w:styleId="ListBullet2">
    <w:name w:val="List Bullet 2"/>
    <w:basedOn w:val="Normal"/>
    <w:uiPriority w:val="99"/>
    <w:unhideWhenUsed/>
    <w:rsid w:val="00ED2E56"/>
    <w:pPr>
      <w:numPr>
        <w:numId w:val="7"/>
      </w:numPr>
      <w:spacing w:before="40" w:after="40"/>
      <w:ind w:left="108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D2E56"/>
    <w:rPr>
      <w:color w:val="800080" w:themeColor="followedHyperlink"/>
      <w:u w:val="single"/>
    </w:rPr>
  </w:style>
  <w:style w:type="paragraph" w:styleId="ListBullet3">
    <w:name w:val="List Bullet 3"/>
    <w:basedOn w:val="Normal"/>
    <w:uiPriority w:val="99"/>
    <w:unhideWhenUsed/>
    <w:rsid w:val="005536B8"/>
    <w:pPr>
      <w:numPr>
        <w:numId w:val="8"/>
      </w:numPr>
      <w:ind w:left="360"/>
      <w:contextualSpacing/>
    </w:pPr>
  </w:style>
  <w:style w:type="character" w:customStyle="1" w:styleId="Heading6Char">
    <w:name w:val="Heading 6 Char"/>
    <w:basedOn w:val="DefaultParagraphFont"/>
    <w:link w:val="Heading6"/>
    <w:rsid w:val="00946002"/>
    <w:rPr>
      <w:rFonts w:asciiTheme="minorHAnsi" w:eastAsiaTheme="majorEastAsia" w:hAnsiTheme="minorHAnsi" w:cstheme="majorBidi"/>
      <w:b/>
      <w:iCs/>
      <w:color w:val="000000" w:themeColor="text1"/>
      <w:sz w:val="24"/>
      <w:szCs w:val="22"/>
    </w:rPr>
  </w:style>
  <w:style w:type="paragraph" w:styleId="ListParagraph">
    <w:name w:val="List Paragraph"/>
    <w:basedOn w:val="Normal"/>
    <w:uiPriority w:val="34"/>
    <w:qFormat/>
    <w:rsid w:val="00445FF2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883EE3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83EE3"/>
    <w:rPr>
      <w:rFonts w:ascii="Times New Roman" w:eastAsia="Times New Roman" w:hAnsi="Times New Roman"/>
      <w:sz w:val="16"/>
      <w:szCs w:val="16"/>
    </w:rPr>
  </w:style>
  <w:style w:type="table" w:styleId="TableGrid">
    <w:name w:val="Table Grid"/>
    <w:basedOn w:val="TableNormal"/>
    <w:locked/>
    <w:rsid w:val="009C7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E240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E240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E240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E240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E240A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locked/>
    <w:rsid w:val="00E3382B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E338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5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010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155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.distance.ufl.edu/reg/Activity/Details/d7c2259e894e4336b3694f7fc86a656d" TargetMode="External"/><Relationship Id="rId13" Type="http://schemas.openxmlformats.org/officeDocument/2006/relationships/hyperlink" Target="mailto:sntc@medicine.ufl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etc@medicine.ufl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tif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F2E41-E52F-44DE-BFBA-D4DC812B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743</Words>
  <Characters>4746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 - Department of Medicine</Company>
  <LinksUpToDate>false</LinksUpToDate>
  <CharactersWithSpaces>5479</CharactersWithSpaces>
  <SharedDoc>false</SharedDoc>
  <HLinks>
    <vt:vector size="6" baseType="variant">
      <vt:variant>
        <vt:i4>3866665</vt:i4>
      </vt:variant>
      <vt:variant>
        <vt:i4>0</vt:i4>
      </vt:variant>
      <vt:variant>
        <vt:i4>0</vt:i4>
      </vt:variant>
      <vt:variant>
        <vt:i4>5</vt:i4>
      </vt:variant>
      <vt:variant>
        <vt:lpwstr>http://sntc.medicine.ufl.edu/training.aspx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Hatch</dc:creator>
  <cp:lastModifiedBy>James,Linda</cp:lastModifiedBy>
  <cp:revision>6</cp:revision>
  <cp:lastPrinted>2013-10-24T16:07:00Z</cp:lastPrinted>
  <dcterms:created xsi:type="dcterms:W3CDTF">2018-12-02T18:38:00Z</dcterms:created>
  <dcterms:modified xsi:type="dcterms:W3CDTF">2019-01-17T16:18:00Z</dcterms:modified>
</cp:coreProperties>
</file>